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2FD3B" w14:textId="68CCA6B0" w:rsidR="00320CD6" w:rsidRDefault="00F475B7" w:rsidP="00674C39">
      <w:pPr>
        <w:rPr>
          <w:b/>
          <w:bCs/>
          <w:lang/>
        </w:rPr>
      </w:pPr>
      <w:r w:rsidRPr="00F475B7">
        <w:rPr>
          <w:b/>
          <w:bCs/>
          <w:lang/>
        </w:rPr>
        <w:t>Promoting meaningful stakeholder engagement through Kenya’s Climate Smart Agriculture Multi</w:t>
      </w:r>
      <w:r>
        <w:rPr>
          <w:b/>
          <w:bCs/>
        </w:rPr>
        <w:t>-</w:t>
      </w:r>
      <w:r w:rsidRPr="00F475B7">
        <w:rPr>
          <w:b/>
          <w:bCs/>
          <w:lang/>
        </w:rPr>
        <w:t>Stakeholder Platform</w:t>
      </w:r>
    </w:p>
    <w:p w14:paraId="5DFA7C25" w14:textId="77777777" w:rsidR="00F475B7" w:rsidRDefault="00F475B7" w:rsidP="00674C39">
      <w:pPr>
        <w:rPr>
          <w:b/>
          <w:bCs/>
          <w:lang/>
        </w:rPr>
      </w:pPr>
    </w:p>
    <w:p w14:paraId="5335FC2C" w14:textId="18A22B62" w:rsidR="00345270" w:rsidRDefault="00345270" w:rsidP="00342225">
      <w:r>
        <w:rPr>
          <w:b/>
          <w:bCs/>
          <w:lang/>
        </w:rPr>
        <w:t xml:space="preserve">Partner (s): </w:t>
      </w:r>
      <w:r w:rsidR="001557F6" w:rsidRPr="001557F6">
        <w:rPr>
          <w:bCs/>
          <w:lang/>
        </w:rPr>
        <w:t>International Livestock Research Institute (ILRI), Biovision, WWF</w:t>
      </w:r>
      <w:r w:rsidR="001557F6">
        <w:rPr>
          <w:bCs/>
        </w:rPr>
        <w:t xml:space="preserve">, </w:t>
      </w:r>
      <w:r w:rsidR="001557F6" w:rsidRPr="001557F6">
        <w:rPr>
          <w:bCs/>
          <w:lang/>
        </w:rPr>
        <w:t>Climate Change Unit, Ministry of Agriculture and Livestock Development, Kenya, ILRI, Biovision, WWF, WoFAK, ACTN, and many more</w:t>
      </w:r>
    </w:p>
    <w:p w14:paraId="46680E16" w14:textId="77777777" w:rsidR="00F22790" w:rsidRDefault="00F22790" w:rsidP="00342225">
      <w:pPr>
        <w:rPr>
          <w:b/>
          <w:bCs/>
          <w:lang/>
        </w:rPr>
      </w:pPr>
    </w:p>
    <w:p w14:paraId="7340AF90" w14:textId="70963C41" w:rsidR="00345270" w:rsidRPr="001557F6" w:rsidRDefault="00345270" w:rsidP="00342225">
      <w:pPr>
        <w:rPr>
          <w:b/>
          <w:bCs/>
        </w:rPr>
      </w:pPr>
      <w:r>
        <w:rPr>
          <w:b/>
          <w:bCs/>
          <w:lang/>
        </w:rPr>
        <w:t xml:space="preserve">Type of Organization: </w:t>
      </w:r>
      <w:r w:rsidR="001557F6" w:rsidRPr="001557F6">
        <w:rPr>
          <w:bCs/>
        </w:rPr>
        <w:t>Both Governmental and non-governmental organizations</w:t>
      </w:r>
    </w:p>
    <w:p w14:paraId="695CBC6C" w14:textId="77777777" w:rsidR="00345270" w:rsidRDefault="00345270" w:rsidP="00342225">
      <w:pPr>
        <w:rPr>
          <w:b/>
          <w:bCs/>
          <w:lang/>
        </w:rPr>
      </w:pPr>
    </w:p>
    <w:p w14:paraId="62B922A4" w14:textId="5038054B" w:rsidR="00674C39" w:rsidRPr="001557F6" w:rsidRDefault="008462E9" w:rsidP="00342225">
      <w:pPr>
        <w:rPr>
          <w:b/>
          <w:bCs/>
        </w:rPr>
      </w:pPr>
      <w:r>
        <w:rPr>
          <w:b/>
          <w:bCs/>
          <w:lang/>
        </w:rPr>
        <w:t>Country of Operation</w:t>
      </w:r>
      <w:r w:rsidR="00606241">
        <w:rPr>
          <w:b/>
          <w:bCs/>
          <w:lang/>
        </w:rPr>
        <w:t xml:space="preserve">: </w:t>
      </w:r>
      <w:r w:rsidR="001557F6" w:rsidRPr="001557F6">
        <w:rPr>
          <w:bCs/>
        </w:rPr>
        <w:t>Kenya</w:t>
      </w:r>
    </w:p>
    <w:p w14:paraId="50238D85" w14:textId="77777777" w:rsidR="00674C39" w:rsidRPr="00674C39" w:rsidRDefault="00674C39" w:rsidP="00674C39">
      <w:pPr>
        <w:rPr>
          <w:lang/>
        </w:rPr>
      </w:pPr>
    </w:p>
    <w:p w14:paraId="07CBBFE7" w14:textId="2E812B1A" w:rsidR="00320CD6" w:rsidRDefault="008462E9" w:rsidP="00F475B7">
      <w:r>
        <w:rPr>
          <w:b/>
          <w:bCs/>
          <w:lang/>
        </w:rPr>
        <w:t xml:space="preserve">Climate </w:t>
      </w:r>
      <w:r w:rsidR="00674C39" w:rsidRPr="00674C39">
        <w:rPr>
          <w:b/>
          <w:bCs/>
          <w:lang/>
        </w:rPr>
        <w:t xml:space="preserve">Adaptation </w:t>
      </w:r>
      <w:r>
        <w:rPr>
          <w:b/>
          <w:bCs/>
          <w:lang/>
        </w:rPr>
        <w:t>S</w:t>
      </w:r>
      <w:r w:rsidR="00674C39" w:rsidRPr="00674C39">
        <w:rPr>
          <w:b/>
          <w:bCs/>
          <w:lang/>
        </w:rPr>
        <w:t xml:space="preserve">ector </w:t>
      </w:r>
      <w:r>
        <w:rPr>
          <w:b/>
          <w:bCs/>
          <w:lang/>
        </w:rPr>
        <w:t>T</w:t>
      </w:r>
      <w:r w:rsidR="00674C39" w:rsidRPr="00674C39">
        <w:rPr>
          <w:b/>
          <w:bCs/>
          <w:lang/>
        </w:rPr>
        <w:t>hem</w:t>
      </w:r>
      <w:r>
        <w:rPr>
          <w:b/>
          <w:bCs/>
          <w:lang/>
        </w:rPr>
        <w:t>atic Area</w:t>
      </w:r>
      <w:r w:rsidR="00606241">
        <w:rPr>
          <w:b/>
          <w:bCs/>
          <w:lang/>
        </w:rPr>
        <w:t xml:space="preserve">: </w:t>
      </w:r>
      <w:r w:rsidR="00F475B7">
        <w:t>Strengthen Coordination and Collaboration Between Member States</w:t>
      </w:r>
    </w:p>
    <w:p w14:paraId="1E511833" w14:textId="77777777" w:rsidR="00F475B7" w:rsidRPr="00606241" w:rsidRDefault="00F475B7" w:rsidP="00F475B7">
      <w:pPr>
        <w:rPr>
          <w:b/>
          <w:bCs/>
          <w:lang/>
        </w:rPr>
      </w:pPr>
    </w:p>
    <w:p w14:paraId="742D83C9" w14:textId="77777777" w:rsidR="00674C39" w:rsidRPr="00674C39" w:rsidRDefault="00674C39" w:rsidP="00674C39">
      <w:pPr>
        <w:rPr>
          <w:b/>
          <w:bCs/>
          <w:lang/>
        </w:rPr>
      </w:pPr>
      <w:r w:rsidRPr="00674C39">
        <w:rPr>
          <w:b/>
          <w:bCs/>
          <w:lang/>
        </w:rPr>
        <w:t>Activities</w:t>
      </w:r>
    </w:p>
    <w:p w14:paraId="7886A09B" w14:textId="2736BE48" w:rsidR="001557F6" w:rsidRDefault="001557F6" w:rsidP="001557F6">
      <w:r>
        <w:t>The Kenya Climate Smart Agriculture Multi-Stakeholder Platform (CSA MSP) provides a coordination and networking mechanism for stakeholders within the agriculture and climate change sector of Kenya to share experiences and identify synergies in their activities. Chaired by the head of the Climate Change Unit of the Ministry of Agriculture and Livestock Development, the CSA MSP aids in the implementation of the Ministry’s Climate Smart Agriculture Strategy and Implementation Framework.</w:t>
      </w:r>
    </w:p>
    <w:p w14:paraId="5FCC3FE9" w14:textId="77777777" w:rsidR="001557F6" w:rsidRDefault="001557F6" w:rsidP="001557F6"/>
    <w:p w14:paraId="39BCB32C" w14:textId="77777777" w:rsidR="001557F6" w:rsidRDefault="001557F6" w:rsidP="001557F6">
      <w:r>
        <w:t>Since 2019, the CSA MSP has convened stakeholders involved in climate change and agriculture in Kenya on a quarterly basis to share knowledge, discuss approaches and coordinate activities around climate smart agriculture and similar efforts. The platform brings together government actors, NGOs, research and academia and the private sector. A Steering Committee meets monthly to assess the progress of the five thematic working groups that make up the platform. These working groups are focused on knowledge sharing; reporting; networking and collaboration; policy development, and social inclusivity.</w:t>
      </w:r>
    </w:p>
    <w:p w14:paraId="17327D8C" w14:textId="77777777" w:rsidR="001557F6" w:rsidRDefault="001557F6" w:rsidP="001557F6"/>
    <w:p w14:paraId="023F2C80" w14:textId="6D89E1D8" w:rsidR="001557F6" w:rsidRDefault="001557F6" w:rsidP="001557F6">
      <w:r>
        <w:t xml:space="preserve">This project received joint support from projects implemented by the International Livestock Research Institute (ILRI), Biovision, WWF and other partners. </w:t>
      </w:r>
    </w:p>
    <w:p w14:paraId="4C9AD835" w14:textId="77777777" w:rsidR="001557F6" w:rsidRDefault="001557F6" w:rsidP="001557F6"/>
    <w:p w14:paraId="33868A2A" w14:textId="25A6A596" w:rsidR="00320CD6" w:rsidRDefault="001557F6" w:rsidP="001557F6">
      <w:r>
        <w:t>The African Agricultural Transformation Initiative (AATI) approached the CSA MSP to implement a CSA Hub within the country. Other partners use the platform to reach a wide range of stakeholders. The thematic working group of social inclusivity liaises with other working groups to ensure that social concerns are incorporated in activities of the platform. The national level CSA MSP has embarked on establishing county level MSPs with the support of platform members. These county-level platforms are a mechanism for coordination on-the-ground activities and reaching farmers and other food system actors more directly.</w:t>
      </w:r>
    </w:p>
    <w:p w14:paraId="052B3A3F" w14:textId="77777777" w:rsidR="001557F6" w:rsidRDefault="001557F6" w:rsidP="001557F6"/>
    <w:p w14:paraId="61A07D74" w14:textId="083B94C3" w:rsidR="000103F3" w:rsidRPr="00674C39" w:rsidRDefault="000103F3" w:rsidP="000103F3">
      <w:pPr>
        <w:rPr>
          <w:b/>
          <w:bCs/>
          <w:lang/>
        </w:rPr>
      </w:pPr>
      <w:r w:rsidRPr="00674C39">
        <w:rPr>
          <w:b/>
          <w:bCs/>
          <w:lang/>
        </w:rPr>
        <w:t>Further information</w:t>
      </w:r>
    </w:p>
    <w:p w14:paraId="11418E4B" w14:textId="020B16F2" w:rsidR="00A94B6C" w:rsidRPr="00DA53CF" w:rsidRDefault="001557F6" w:rsidP="001557F6">
      <w:pPr>
        <w:rPr>
          <w:lang/>
        </w:rPr>
      </w:pPr>
      <w:r w:rsidRPr="001557F6">
        <w:t>Links to resources and information: https://</w:t>
      </w:r>
      <w:hyperlink r:id="rId5" w:history="1">
        <w:r w:rsidRPr="00520FAD">
          <w:rPr>
            <w:rStyle w:val="Hyperlink"/>
          </w:rPr>
          <w:t>www.cgiar.org</w:t>
        </w:r>
      </w:hyperlink>
      <w:r>
        <w:t xml:space="preserve"> </w:t>
      </w:r>
    </w:p>
    <w:sectPr w:rsidR="00A94B6C" w:rsidRPr="00DA5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64B60"/>
    <w:multiLevelType w:val="hybridMultilevel"/>
    <w:tmpl w:val="1DB61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D3CA5"/>
    <w:multiLevelType w:val="hybridMultilevel"/>
    <w:tmpl w:val="8EAE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30379"/>
    <w:multiLevelType w:val="hybridMultilevel"/>
    <w:tmpl w:val="F5D0D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49030564">
    <w:abstractNumId w:val="3"/>
  </w:num>
  <w:num w:numId="2" w16cid:durableId="895090727">
    <w:abstractNumId w:val="1"/>
  </w:num>
  <w:num w:numId="3" w16cid:durableId="346374190">
    <w:abstractNumId w:val="0"/>
  </w:num>
  <w:num w:numId="4" w16cid:durableId="1203710706">
    <w:abstractNumId w:val="4"/>
  </w:num>
  <w:num w:numId="5" w16cid:durableId="127717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0B3C75"/>
    <w:rsid w:val="001118D0"/>
    <w:rsid w:val="001557F6"/>
    <w:rsid w:val="00186885"/>
    <w:rsid w:val="001A40F3"/>
    <w:rsid w:val="001F0B65"/>
    <w:rsid w:val="00264BA7"/>
    <w:rsid w:val="00295CC9"/>
    <w:rsid w:val="00320CD6"/>
    <w:rsid w:val="00342225"/>
    <w:rsid w:val="00345270"/>
    <w:rsid w:val="00350F35"/>
    <w:rsid w:val="003643F1"/>
    <w:rsid w:val="003F0B4C"/>
    <w:rsid w:val="00465F6C"/>
    <w:rsid w:val="005419F0"/>
    <w:rsid w:val="005575A9"/>
    <w:rsid w:val="005978FD"/>
    <w:rsid w:val="005E7FA9"/>
    <w:rsid w:val="00606241"/>
    <w:rsid w:val="00614F07"/>
    <w:rsid w:val="006154D9"/>
    <w:rsid w:val="006357F7"/>
    <w:rsid w:val="00674C39"/>
    <w:rsid w:val="006A54C8"/>
    <w:rsid w:val="006B3923"/>
    <w:rsid w:val="006B6D3E"/>
    <w:rsid w:val="00726243"/>
    <w:rsid w:val="00783CAB"/>
    <w:rsid w:val="008462E9"/>
    <w:rsid w:val="00911FAD"/>
    <w:rsid w:val="00963754"/>
    <w:rsid w:val="009C5B9D"/>
    <w:rsid w:val="009E5B7D"/>
    <w:rsid w:val="009F451D"/>
    <w:rsid w:val="00A40A89"/>
    <w:rsid w:val="00A90680"/>
    <w:rsid w:val="00A94B6C"/>
    <w:rsid w:val="00AB43C1"/>
    <w:rsid w:val="00B82A19"/>
    <w:rsid w:val="00BD2EA1"/>
    <w:rsid w:val="00CB61E8"/>
    <w:rsid w:val="00D87668"/>
    <w:rsid w:val="00DA53CF"/>
    <w:rsid w:val="00DE578F"/>
    <w:rsid w:val="00E24241"/>
    <w:rsid w:val="00E30231"/>
    <w:rsid w:val="00E7400D"/>
    <w:rsid w:val="00E879DB"/>
    <w:rsid w:val="00E87AC4"/>
    <w:rsid w:val="00E94530"/>
    <w:rsid w:val="00ED36B1"/>
    <w:rsid w:val="00F22790"/>
    <w:rsid w:val="00F475B7"/>
    <w:rsid w:val="00FD53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911FA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 w:type="character" w:customStyle="1" w:styleId="Heading5Char">
    <w:name w:val="Heading 5 Char"/>
    <w:basedOn w:val="DefaultParagraphFont"/>
    <w:link w:val="Heading5"/>
    <w:uiPriority w:val="9"/>
    <w:semiHidden/>
    <w:rsid w:val="00911FAD"/>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gia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Bilhah Kerubo</cp:lastModifiedBy>
  <cp:revision>2</cp:revision>
  <dcterms:created xsi:type="dcterms:W3CDTF">2024-12-05T07:04:00Z</dcterms:created>
  <dcterms:modified xsi:type="dcterms:W3CDTF">2024-12-05T07:04:00Z</dcterms:modified>
</cp:coreProperties>
</file>