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53BF" w14:textId="120CCC66" w:rsidR="00FD53FD" w:rsidRDefault="00DE578F" w:rsidP="00674C39">
      <w:pPr>
        <w:rPr>
          <w:b/>
          <w:bCs/>
          <w:lang w:val="en-SS"/>
        </w:rPr>
      </w:pPr>
      <w:r w:rsidRPr="00DE578F">
        <w:rPr>
          <w:b/>
          <w:bCs/>
          <w:lang w:val="en-SS"/>
        </w:rPr>
        <w:t>Climate Smart Agriculture Investment Plan for Kenya</w:t>
      </w:r>
    </w:p>
    <w:p w14:paraId="100A311C" w14:textId="77777777" w:rsidR="00DE578F" w:rsidRDefault="00DE578F" w:rsidP="00674C39">
      <w:pPr>
        <w:rPr>
          <w:b/>
          <w:bCs/>
          <w:lang w:val="en-SS"/>
        </w:rPr>
      </w:pPr>
    </w:p>
    <w:p w14:paraId="5335FC2C" w14:textId="018624E8" w:rsidR="00345270" w:rsidRDefault="00345270" w:rsidP="00342225">
      <w:r>
        <w:rPr>
          <w:b/>
          <w:bCs/>
          <w:lang w:val="en-SS"/>
        </w:rPr>
        <w:t xml:space="preserve">Partner (s): </w:t>
      </w:r>
      <w:r w:rsidR="00F22790" w:rsidRPr="00F22790">
        <w:t>Accelerating the Impact of CGIAR Climate Research for Africa (AICCRA),</w:t>
      </w:r>
      <w:r w:rsidR="00F22790">
        <w:t xml:space="preserve"> </w:t>
      </w:r>
      <w:r w:rsidR="00F22790" w:rsidRPr="00F22790">
        <w:t>International Development Association (IDA) of the World Bank, Ministry of Agriculture and Livestock Development (</w:t>
      </w:r>
      <w:proofErr w:type="spellStart"/>
      <w:r w:rsidR="00F22790" w:rsidRPr="00F22790">
        <w:t>MoALD</w:t>
      </w:r>
      <w:proofErr w:type="spellEnd"/>
      <w:r w:rsidR="00F22790" w:rsidRPr="00F22790">
        <w:t xml:space="preserve">), Kenya Climate-Smart Agriculture Multi-Stakeholder Platform (CSA MSP) and </w:t>
      </w:r>
      <w:r w:rsidR="00F22790">
        <w:t>C</w:t>
      </w:r>
      <w:r w:rsidR="00F22790" w:rsidRPr="00F22790">
        <w:t>ommunities</w:t>
      </w:r>
      <w:r w:rsidR="00F22790">
        <w:t>.</w:t>
      </w:r>
      <w:r w:rsidR="00E94530">
        <w:t xml:space="preserve"> </w:t>
      </w:r>
    </w:p>
    <w:p w14:paraId="46680E16" w14:textId="77777777" w:rsidR="00F22790" w:rsidRDefault="00F22790" w:rsidP="00342225">
      <w:pPr>
        <w:rPr>
          <w:b/>
          <w:bCs/>
          <w:lang w:val="en-SS"/>
        </w:rPr>
      </w:pPr>
    </w:p>
    <w:p w14:paraId="7340AF90" w14:textId="6163027C" w:rsidR="00345270" w:rsidRDefault="00345270" w:rsidP="00342225">
      <w:pPr>
        <w:rPr>
          <w:b/>
          <w:bCs/>
          <w:lang w:val="en-SS"/>
        </w:rPr>
      </w:pPr>
      <w:r>
        <w:rPr>
          <w:b/>
          <w:bCs/>
          <w:lang w:val="en-SS"/>
        </w:rPr>
        <w:t xml:space="preserve">Type of Organization: </w:t>
      </w:r>
      <w:r w:rsidRPr="00345270">
        <w:rPr>
          <w:lang w:val="en-SS"/>
        </w:rPr>
        <w:t>Non-governmental organizations</w:t>
      </w:r>
    </w:p>
    <w:p w14:paraId="695CBC6C" w14:textId="77777777" w:rsidR="00345270" w:rsidRDefault="00345270" w:rsidP="00342225">
      <w:pPr>
        <w:rPr>
          <w:b/>
          <w:bCs/>
          <w:lang w:val="en-SS"/>
        </w:rPr>
      </w:pPr>
    </w:p>
    <w:p w14:paraId="62B922A4" w14:textId="032C0563" w:rsidR="00674C39" w:rsidRPr="00606241" w:rsidRDefault="008462E9" w:rsidP="00342225">
      <w:pPr>
        <w:rPr>
          <w:b/>
          <w:bCs/>
          <w:lang w:val="en-SS"/>
        </w:rPr>
      </w:pPr>
      <w:r>
        <w:rPr>
          <w:b/>
          <w:bCs/>
          <w:lang w:val="en-SS"/>
        </w:rPr>
        <w:t>Country of Operation</w:t>
      </w:r>
      <w:r w:rsidR="00606241">
        <w:rPr>
          <w:b/>
          <w:bCs/>
          <w:lang w:val="en-SS"/>
        </w:rPr>
        <w:t xml:space="preserve">: </w:t>
      </w:r>
      <w:r w:rsidR="00DE578F">
        <w:t>Kenya</w:t>
      </w:r>
    </w:p>
    <w:p w14:paraId="50238D85" w14:textId="77777777" w:rsidR="00674C39" w:rsidRPr="00674C39" w:rsidRDefault="00674C39" w:rsidP="00674C39">
      <w:pPr>
        <w:rPr>
          <w:lang w:val="en-SS"/>
        </w:rPr>
      </w:pPr>
    </w:p>
    <w:p w14:paraId="16505A6C" w14:textId="22C3BAFA" w:rsidR="00674C39" w:rsidRPr="00FD53FD" w:rsidRDefault="008462E9" w:rsidP="00674C39">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465F6C">
        <w:t>Adaptation</w:t>
      </w:r>
      <w:bookmarkStart w:id="0" w:name="_GoBack"/>
      <w:bookmarkEnd w:id="0"/>
      <w:r w:rsidR="00DE578F">
        <w:t xml:space="preserve"> Finance</w:t>
      </w:r>
    </w:p>
    <w:p w14:paraId="656F9940" w14:textId="77777777" w:rsidR="00345270" w:rsidRPr="00606241" w:rsidRDefault="00345270" w:rsidP="00674C39">
      <w:pPr>
        <w:rPr>
          <w:b/>
          <w:bCs/>
          <w:lang w:val="en-SS"/>
        </w:rPr>
      </w:pPr>
    </w:p>
    <w:p w14:paraId="742D83C9" w14:textId="77777777" w:rsidR="00674C39" w:rsidRPr="00674C39" w:rsidRDefault="00674C39" w:rsidP="00674C39">
      <w:pPr>
        <w:rPr>
          <w:b/>
          <w:bCs/>
          <w:lang w:val="en-SS"/>
        </w:rPr>
      </w:pPr>
      <w:r w:rsidRPr="00674C39">
        <w:rPr>
          <w:b/>
          <w:bCs/>
          <w:lang w:val="en-SS"/>
        </w:rPr>
        <w:t>Activities</w:t>
      </w:r>
    </w:p>
    <w:p w14:paraId="23D4D348" w14:textId="77777777" w:rsidR="00ED36B1" w:rsidRDefault="00ED36B1" w:rsidP="00ED36B1">
      <w:r>
        <w:t>Kenya’</w:t>
      </w:r>
      <w:r>
        <w:t>s Climate Smart Agriculture Investment Plan (CSAIP) is a strategically developed and stakeholder-engaged initiative that identifies and prioritizes climate-resilient agricultural investments. It aims to create a nationally supported portfolio, leveraging resources from various stakeholders, including the private sector, international donors, and public institutions, to transform the agricultural sector, aligning with Kenya's existing programmes and international frameworks.</w:t>
      </w:r>
    </w:p>
    <w:p w14:paraId="232C9DB3" w14:textId="77777777" w:rsidR="00ED36B1" w:rsidRDefault="00ED36B1" w:rsidP="00ED36B1"/>
    <w:p w14:paraId="749FA132" w14:textId="70FA9613" w:rsidR="00ED36B1" w:rsidRDefault="00ED36B1" w:rsidP="00ED36B1">
      <w:r>
        <w:t>A comprehensive process was undertaken to develop Kenya's CSAIP. It began with a situation analysis and expert pre-validation, leading to the identification of a long list of nationally prioritized CSA investments. Subsequently, a final shortlist was generated based on specific criteria established during a prioritization workshop. These investments underwent concurrent analysis, including cost-benefit assessment, climate modelling,</w:t>
      </w:r>
      <w:r w:rsidR="00F22790">
        <w:t xml:space="preserve"> </w:t>
      </w:r>
      <w:r>
        <w:t>policy analysis, financial evaluation, and monitoring and evaluation. The findings informed the development of detailed project concepts. The eight priority CSA investments were assessed based on several criteria, including their objectives, geographic distribution, target beneficiaries, alignment with CSA pillars, problem justification, climate suitability, policy coherence, risks, and potential for collaboration and partnership. The process culminated in a validation workshop and an external quality review conducted within the country.</w:t>
      </w:r>
    </w:p>
    <w:p w14:paraId="2AF7EB7C" w14:textId="77777777" w:rsidR="00ED36B1" w:rsidRDefault="00ED36B1" w:rsidP="00ED36B1"/>
    <w:p w14:paraId="6F48AA77" w14:textId="77777777" w:rsidR="00F22790" w:rsidRDefault="00ED36B1" w:rsidP="00ED36B1">
      <w:r>
        <w:t>This process was led by the Accelerating the Impact of CGIAR Climate Research for Africa (AICCRA), supported by a grant from the International Development Association (IDA) of the World Bank, and it included the Ministry of Agriculture and Livestock Development (</w:t>
      </w:r>
      <w:proofErr w:type="spellStart"/>
      <w:r>
        <w:t>MoALD</w:t>
      </w:r>
      <w:proofErr w:type="spellEnd"/>
      <w:r>
        <w:t>), Kenya Climate-Smart Agriculture Multi-Stakeholder Platform (CSA MSP) and communities.</w:t>
      </w:r>
    </w:p>
    <w:p w14:paraId="60BB5A52" w14:textId="77777777" w:rsidR="00F22790" w:rsidRDefault="00F22790" w:rsidP="00ED36B1"/>
    <w:p w14:paraId="4DDC9612" w14:textId="5A7E1D1B" w:rsidR="00FD53FD" w:rsidRDefault="00ED36B1" w:rsidP="00ED36B1">
      <w:r>
        <w:t>The CSAIP process and development were scaled as a training to the county level to support them in developing their capacity to respond effectively to climate change challenges and create awareness and sensitivity to the Financing Locally Led Climate Action (</w:t>
      </w:r>
      <w:proofErr w:type="spellStart"/>
      <w:r>
        <w:t>FLLoCA</w:t>
      </w:r>
      <w:proofErr w:type="spellEnd"/>
      <w:r>
        <w:t xml:space="preserve">) programme and its requirements for accessing climate funds. The planned investments will have a direct positive impact on farming households and communities, with a particular focus on vulnerable groups such as women and young farmers who are most affected by climate </w:t>
      </w:r>
      <w:r>
        <w:lastRenderedPageBreak/>
        <w:t>change. Additionally, these priority</w:t>
      </w:r>
      <w:r w:rsidR="00F22790">
        <w:t xml:space="preserve"> </w:t>
      </w:r>
      <w:r>
        <w:t>investments will bring indirect benefits to rural populations within the project's coverage areas by generating both on-farm and off-farm job opportunities. Furthermore, the investments will have a cascading effect, leading to increased benefits for various stakeholders in the agricultural value chain, including those who supply inputs and provide services. This, in turn, will stimulate the growth of small and medium- sized enterprises (SMEs) in rural areas, ultimately leading to increased employment opportunities for impoverished rural communities.</w:t>
      </w:r>
    </w:p>
    <w:p w14:paraId="5DD3D48D" w14:textId="77777777" w:rsidR="00ED36B1" w:rsidRDefault="00ED36B1" w:rsidP="00ED36B1"/>
    <w:p w14:paraId="61A07D74" w14:textId="77777777" w:rsidR="000103F3" w:rsidRPr="00674C39" w:rsidRDefault="000103F3" w:rsidP="000103F3">
      <w:pPr>
        <w:rPr>
          <w:b/>
          <w:bCs/>
          <w:lang w:val="en-SS"/>
        </w:rPr>
      </w:pPr>
      <w:r w:rsidRPr="00674C39">
        <w:rPr>
          <w:b/>
          <w:bCs/>
          <w:lang w:val="en-SS"/>
        </w:rPr>
        <w:t>Further information</w:t>
      </w:r>
    </w:p>
    <w:p w14:paraId="436F57C2" w14:textId="77777777" w:rsidR="00FD53FD" w:rsidRDefault="00FD53FD" w:rsidP="001118D0">
      <w:pPr>
        <w:rPr>
          <w:lang w:val="en-SS"/>
        </w:rPr>
      </w:pPr>
    </w:p>
    <w:p w14:paraId="11418E4B" w14:textId="4D747A5E" w:rsidR="00A94B6C" w:rsidRPr="00DA53CF" w:rsidRDefault="00A94B6C" w:rsidP="001118D0">
      <w:pPr>
        <w:rPr>
          <w:lang w:val="en-SS"/>
        </w:rPr>
      </w:pP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86885"/>
    <w:rsid w:val="001A40F3"/>
    <w:rsid w:val="001F0B65"/>
    <w:rsid w:val="00264BA7"/>
    <w:rsid w:val="00342225"/>
    <w:rsid w:val="00345270"/>
    <w:rsid w:val="00350F35"/>
    <w:rsid w:val="003643F1"/>
    <w:rsid w:val="00465F6C"/>
    <w:rsid w:val="005419F0"/>
    <w:rsid w:val="005978FD"/>
    <w:rsid w:val="005E7FA9"/>
    <w:rsid w:val="00606241"/>
    <w:rsid w:val="006154D9"/>
    <w:rsid w:val="006357F7"/>
    <w:rsid w:val="00674C39"/>
    <w:rsid w:val="006A54C8"/>
    <w:rsid w:val="006B3923"/>
    <w:rsid w:val="006B6D3E"/>
    <w:rsid w:val="00726243"/>
    <w:rsid w:val="00783CAB"/>
    <w:rsid w:val="008462E9"/>
    <w:rsid w:val="00963754"/>
    <w:rsid w:val="009E5B7D"/>
    <w:rsid w:val="009F451D"/>
    <w:rsid w:val="00A90680"/>
    <w:rsid w:val="00A94B6C"/>
    <w:rsid w:val="00AB43C1"/>
    <w:rsid w:val="00B82A19"/>
    <w:rsid w:val="00BD2EA1"/>
    <w:rsid w:val="00DA53CF"/>
    <w:rsid w:val="00DE578F"/>
    <w:rsid w:val="00E24241"/>
    <w:rsid w:val="00E879DB"/>
    <w:rsid w:val="00E94530"/>
    <w:rsid w:val="00ED36B1"/>
    <w:rsid w:val="00F22790"/>
    <w:rsid w:val="00FD53FD"/>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5</cp:revision>
  <dcterms:created xsi:type="dcterms:W3CDTF">2024-10-28T08:47:00Z</dcterms:created>
  <dcterms:modified xsi:type="dcterms:W3CDTF">2024-10-28T09:13:00Z</dcterms:modified>
</cp:coreProperties>
</file>